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Письмо Министерства просвещения РФ от 11 мая 2021 г. N СК-123/07</w:t>
      </w:r>
      <w:r w:rsidRPr="000A18D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усилении мер безопасности"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В целях усиления мер безопасности, повышения состояния защищенности от угроз криминального характера и террористических угроз образовательных организаций </w:t>
      </w:r>
      <w:proofErr w:type="spell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Минпросвещения</w:t>
      </w:r>
      <w:proofErr w:type="spell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России обращает внимание на необходимость максимального контроля в части создания условий, обеспечивающих сохранение жизни, здоровья обучающихся и работников образовательных организаций.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Необходимо выработать дополнительные меры с учетом анализа обстановки в субъекте Российской Федерации, провести проверки состояния защищенности организаций, организовать разъяснительную работу в педагогических коллективах, провести классные часы о законопослушном поведении, общешкольные родительские собрания.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Дополнительно </w:t>
      </w:r>
      <w:proofErr w:type="spell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Минпросвещения</w:t>
      </w:r>
      <w:proofErr w:type="spell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России направляет </w:t>
      </w:r>
      <w:hyperlink r:id="rId4" w:anchor="/document/400744837/entry/1000" w:history="1">
        <w:r w:rsidRPr="000A18D9">
          <w:rPr>
            <w:rFonts w:ascii="Times New Roman" w:eastAsia="Times New Roman" w:hAnsi="Times New Roman" w:cs="Times New Roman"/>
            <w:color w:val="3272C0"/>
            <w:sz w:val="19"/>
            <w:lang w:eastAsia="ru-RU"/>
          </w:rPr>
          <w:t>рекомендации</w:t>
        </w:r>
      </w:hyperlink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 по организации действий участников образовательных отношений в кризисных ситуациях.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Приложение: на 4 л. в 1 экз.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0A18D9" w:rsidRPr="000A18D9" w:rsidTr="000A18D9">
        <w:tc>
          <w:tcPr>
            <w:tcW w:w="3300" w:type="pct"/>
            <w:shd w:val="clear" w:color="auto" w:fill="FFFFFF"/>
            <w:vAlign w:val="bottom"/>
            <w:hideMark/>
          </w:tcPr>
          <w:p w:rsidR="000A18D9" w:rsidRPr="000A18D9" w:rsidRDefault="000A18D9" w:rsidP="000A1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  <w:lang w:eastAsia="ru-RU"/>
              </w:rPr>
            </w:pPr>
            <w:r w:rsidRPr="000A18D9"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A18D9" w:rsidRPr="000A18D9" w:rsidRDefault="000A18D9" w:rsidP="000A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  <w:lang w:eastAsia="ru-RU"/>
              </w:rPr>
            </w:pPr>
            <w:r w:rsidRPr="000A18D9"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  <w:lang w:eastAsia="ru-RU"/>
              </w:rPr>
              <w:t>С.С. Кравцов</w:t>
            </w:r>
          </w:p>
        </w:tc>
      </w:tr>
    </w:tbl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 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b/>
          <w:bCs/>
          <w:color w:val="22272F"/>
          <w:sz w:val="19"/>
          <w:lang w:eastAsia="ru-RU"/>
        </w:rPr>
        <w:t>Приложение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t>Рекомендации</w:t>
      </w:r>
      <w:r w:rsidRPr="000A18D9">
        <w:rPr>
          <w:rFonts w:ascii="Times New Roman" w:eastAsia="Times New Roman" w:hAnsi="Times New Roman" w:cs="Times New Roman"/>
          <w:color w:val="22272F"/>
          <w:sz w:val="27"/>
          <w:szCs w:val="27"/>
          <w:lang w:eastAsia="ru-RU"/>
        </w:rPr>
        <w:br/>
        <w:t>по организации действий в кризисной ситуации для участников образовательных отношений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Разработка кризисного плана необходима для организации эффективных действий всех участников образовательных отношений в кризисной ситуации. Каждой общеобразовательной организации рекомендуется иметь план действий в чрезвычайных ситуациях (далее - ЧС). План безопасности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включает разные компоненты и направлен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на обеспечение физической, психологической безопасности и благополучия обучающихся и сотрудников.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Антикризисный план должен включать в себя следующие блоки: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организационный (кто будет отвечать за планирование и порядок действий в ЧС);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методический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(выявляются критерии для оценки эффективности работы);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ресурсный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(материально-технические и кадровые вопросы).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Каждый блок формируется с учетом и в зависимости от следующих факторов: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типов чрезвычайных ситуаций;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какие признаки определяют кризисный характер этих событий;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каков алгоритм действий;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каким образом и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по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каким критериям определять и сортировать медицинскую и психологическую травмы;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как выявить учащихся и сотрудников, которым может потребоваться последующая консультация;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порядок действий в отношении обучающихся, сотрудников, родителей, СМИ;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lastRenderedPageBreak/>
        <w:t xml:space="preserve">какие дополнительные, внешние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ресурсы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могут быть использованы и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каким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образом;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кто будет оценивать эффективность действий и необходимость доработки и изменения кризисного плана;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какие обучающие тренинги для сотрудников необходимо провести;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как будет происходить информирование о кризисной ситуации и плане действий в самой образовательной организации.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Когда общий план разработан, можно приниматься за прорисовку деталей (ход действий, время, место, ответственный, технические средства и т.д.). Именно с целью разработки и реализации подобного плана действий в образовательных организациях необходимо создавать школьные антикризисные команды.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Каждый член такой команды должен знать: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кто отвечает за оповещение всех членов команды при необходимости;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кто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регулирует и выстраивает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системы коммуникации;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кто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и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каким образом обеспечивает контроль слухов;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кто обеспечивает первую помощь (психологическую, социальную и медицинскую), взаимодействует со СМИ;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кто обеспечивает эвакуацию и перевозку;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кто проводит индивидуальное и групповое консультирование;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кто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планирует и проводит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работу с последствиями кризисной ситуации.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Опыт показывает, что за каждую функцию должны отвечать 1-2 члена команды. Важно помнить о том, что контактная информация о команде должна быть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доступна и размещена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около телефона, на доске объявлений и т.д.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На эффективность работы антикризисной команды будет влиять четкость и слаженность совместных действий ее членов. С этой целью с членами антикризисной команды регулярно проводятся тренинги и учения.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Очень важно, чтобы работа антикризисной команды проводилась при поддержке внешнего консультанта, оказывающего помощь как на стадии формирования команды, ее обучения, так и при действии в ЧС (этим специалистом должен быть представитель антикризисного подразделения или городской службы экстренной психологической помощи). В круг вопросов, решаемых представителем антикризисного подразделения, входят: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консультации и поддержка антикризисной команды;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оказание помощи при проведении </w:t>
      </w:r>
      <w:proofErr w:type="spell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дебрифинга</w:t>
      </w:r>
      <w:proofErr w:type="spellEnd"/>
      <w:r w:rsidRPr="000A18D9">
        <w:rPr>
          <w:rFonts w:ascii="Times New Roman" w:eastAsia="Times New Roman" w:hAnsi="Times New Roman" w:cs="Times New Roman"/>
          <w:color w:val="22272F"/>
          <w:sz w:val="13"/>
          <w:szCs w:val="13"/>
          <w:vertAlign w:val="superscript"/>
          <w:lang w:eastAsia="ru-RU"/>
        </w:rPr>
        <w:t> </w:t>
      </w:r>
      <w:hyperlink r:id="rId5" w:anchor="/document/400744837/entry/111" w:history="1">
        <w:r w:rsidRPr="000A18D9">
          <w:rPr>
            <w:rFonts w:ascii="Times New Roman" w:eastAsia="Times New Roman" w:hAnsi="Times New Roman" w:cs="Times New Roman"/>
            <w:color w:val="3272C0"/>
            <w:sz w:val="13"/>
            <w:vertAlign w:val="superscript"/>
            <w:lang w:eastAsia="ru-RU"/>
          </w:rPr>
          <w:t>1</w:t>
        </w:r>
      </w:hyperlink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;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предупреждение синдрома "сгорания" у членов антикризисной команды.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В кризисных ситуациях собственных ресурсов образовательной организации часто оказывается недостаточно. Именно поэтому необходима координация работы с региональными антикризисными подразделениями.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При планировании действий по оказанию помощи в кризисных ситуациях важно учитывать реальные потребности пострадавших.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Это и желание выжить, спастись и как можно </w:t>
      </w:r>
      <w:proofErr w:type="spell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оперативнее</w:t>
      </w:r>
      <w:proofErr w:type="spell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установить контакт с близкими, и получение информации о происходящем с целью осмысления ситуации и ориентации в новых условиях, и стремление к установлению контроля над происходящим.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В условиях экстремальных и кризисных ситуаций необходимо соответствующее обращение к пострадавшим и лицам, вовлеченным в них. Наиболее важным стабилизирующим фактором в условиях экстремальной или кризисной ситуации является восстановление веры в то, что жизнь организована в соответствии с определенным порядком и поддается контролю.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Члены антикризисной команды должны иметь представление о биологических и психологических проявлениях, характерных для острой реакции на стресс.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lastRenderedPageBreak/>
        <w:t xml:space="preserve">При планировании шагов по оказанию помощи необходимо учитывать как минимум три аспекта, определяющих первоочередность в оказании помощи: аспект физической близости к месту события (за пределами зоны бедствия, в пределах слышимости, рядом с зоной бедствия, в центре зоны бедствия); социально-психологический аспект (в число наиболее уязвимых и нуждающихся в поддержке попадают различные группы людей, среди них - те, кто идентифицирует себя с жертвой или уподобляется жертвам; знакомые, дальние родственники или близкие друзья, непосредственно семья), в качестве третьего аспекта выступает население группы риска (крайне чувствительные люди,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люди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переживающие сложный личный или социальный кризис, люди, потерявшие близких за последний год или имеющие свежую подобную травму). В число таких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лиц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 xml:space="preserve"> прежде всего попадают (по степени </w:t>
      </w:r>
      <w:proofErr w:type="spellStart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травматизации</w:t>
      </w:r>
      <w:proofErr w:type="spellEnd"/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) травмированные дети, семья, родители, свидетели события, друзья пострадавших, одноклассники, педагоги, персонал образовательного учреждения, администрация учреждения, представители вышестоящих организаций.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9"/>
          <w:szCs w:val="19"/>
          <w:lang w:eastAsia="ru-RU"/>
        </w:rPr>
        <w:t>Ознакомление сотрудников с планом поведения в кризисной ситуации, обсуждение технических и психологических моментов поведения в таких ситуациях, проведение тренировочных сборов - все это необходимо, чтобы план оказался действенным.</w:t>
      </w:r>
    </w:p>
    <w:p w:rsidR="000A18D9" w:rsidRPr="000A18D9" w:rsidRDefault="000A18D9" w:rsidP="000A18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17"/>
          <w:szCs w:val="17"/>
          <w:lang w:eastAsia="ru-RU"/>
        </w:rPr>
      </w:pPr>
      <w:r w:rsidRPr="000A18D9">
        <w:rPr>
          <w:rFonts w:ascii="Courier New" w:eastAsia="Times New Roman" w:hAnsi="Courier New" w:cs="Courier New"/>
          <w:color w:val="22272F"/>
          <w:sz w:val="17"/>
          <w:szCs w:val="17"/>
          <w:lang w:eastAsia="ru-RU"/>
        </w:rPr>
        <w:t>──────────────────────────────</w:t>
      </w:r>
    </w:p>
    <w:p w:rsidR="000A18D9" w:rsidRPr="000A18D9" w:rsidRDefault="000A18D9" w:rsidP="000A18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7"/>
          <w:szCs w:val="17"/>
          <w:lang w:eastAsia="ru-RU"/>
        </w:rPr>
      </w:pPr>
      <w:r w:rsidRPr="000A18D9">
        <w:rPr>
          <w:rFonts w:ascii="Times New Roman" w:eastAsia="Times New Roman" w:hAnsi="Times New Roman" w:cs="Times New Roman"/>
          <w:color w:val="22272F"/>
          <w:sz w:val="12"/>
          <w:szCs w:val="12"/>
          <w:vertAlign w:val="superscript"/>
          <w:lang w:eastAsia="ru-RU"/>
        </w:rPr>
        <w:t>1</w:t>
      </w:r>
      <w:r w:rsidRPr="000A18D9">
        <w:rPr>
          <w:rFonts w:ascii="Times New Roman" w:eastAsia="Times New Roman" w:hAnsi="Times New Roman" w:cs="Times New Roman"/>
          <w:color w:val="22272F"/>
          <w:sz w:val="17"/>
          <w:szCs w:val="17"/>
          <w:lang w:eastAsia="ru-RU"/>
        </w:rPr>
        <w:t> </w:t>
      </w:r>
      <w:proofErr w:type="spellStart"/>
      <w:r w:rsidRPr="000A18D9">
        <w:rPr>
          <w:rFonts w:ascii="Times New Roman" w:eastAsia="Times New Roman" w:hAnsi="Times New Roman" w:cs="Times New Roman"/>
          <w:color w:val="22272F"/>
          <w:sz w:val="17"/>
          <w:szCs w:val="17"/>
          <w:lang w:eastAsia="ru-RU"/>
        </w:rPr>
        <w:t>Дебрифинг</w:t>
      </w:r>
      <w:proofErr w:type="spellEnd"/>
      <w:r w:rsidRPr="000A18D9">
        <w:rPr>
          <w:rFonts w:ascii="Times New Roman" w:eastAsia="Times New Roman" w:hAnsi="Times New Roman" w:cs="Times New Roman"/>
          <w:color w:val="22272F"/>
          <w:sz w:val="17"/>
          <w:szCs w:val="17"/>
          <w:lang w:eastAsia="ru-RU"/>
        </w:rPr>
        <w:t xml:space="preserve">; </w:t>
      </w:r>
      <w:proofErr w:type="gramStart"/>
      <w:r w:rsidRPr="000A18D9">
        <w:rPr>
          <w:rFonts w:ascii="Times New Roman" w:eastAsia="Times New Roman" w:hAnsi="Times New Roman" w:cs="Times New Roman"/>
          <w:color w:val="22272F"/>
          <w:sz w:val="17"/>
          <w:szCs w:val="17"/>
          <w:lang w:eastAsia="ru-RU"/>
        </w:rPr>
        <w:t>психологический</w:t>
      </w:r>
      <w:proofErr w:type="gramEnd"/>
      <w:r w:rsidRPr="000A18D9">
        <w:rPr>
          <w:rFonts w:ascii="Times New Roman" w:eastAsia="Times New Roman" w:hAnsi="Times New Roman" w:cs="Times New Roman"/>
          <w:color w:val="22272F"/>
          <w:sz w:val="17"/>
          <w:szCs w:val="17"/>
          <w:lang w:eastAsia="ru-RU"/>
        </w:rPr>
        <w:t xml:space="preserve"> </w:t>
      </w:r>
      <w:proofErr w:type="spellStart"/>
      <w:r w:rsidRPr="000A18D9">
        <w:rPr>
          <w:rFonts w:ascii="Times New Roman" w:eastAsia="Times New Roman" w:hAnsi="Times New Roman" w:cs="Times New Roman"/>
          <w:color w:val="22272F"/>
          <w:sz w:val="17"/>
          <w:szCs w:val="17"/>
          <w:lang w:eastAsia="ru-RU"/>
        </w:rPr>
        <w:t>дебрифинг</w:t>
      </w:r>
      <w:proofErr w:type="spellEnd"/>
      <w:r w:rsidRPr="000A18D9">
        <w:rPr>
          <w:rFonts w:ascii="Times New Roman" w:eastAsia="Times New Roman" w:hAnsi="Times New Roman" w:cs="Times New Roman"/>
          <w:color w:val="22272F"/>
          <w:sz w:val="17"/>
          <w:szCs w:val="17"/>
          <w:lang w:eastAsia="ru-RU"/>
        </w:rPr>
        <w:t xml:space="preserve"> - одноразовая слабоструктурированная психологическая беседа с человеком, пережившим экстремальную ситуацию или психологическую травму.</w:t>
      </w:r>
    </w:p>
    <w:p w:rsidR="002932AB" w:rsidRDefault="002932AB"/>
    <w:sectPr w:rsidR="002932AB" w:rsidSect="00293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18D9"/>
    <w:rsid w:val="000A18D9"/>
    <w:rsid w:val="00293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A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A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A18D9"/>
    <w:rPr>
      <w:color w:val="0000FF"/>
      <w:u w:val="single"/>
    </w:rPr>
  </w:style>
  <w:style w:type="paragraph" w:customStyle="1" w:styleId="empty">
    <w:name w:val="empty"/>
    <w:basedOn w:val="a"/>
    <w:rsid w:val="000A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0A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A18D9"/>
  </w:style>
  <w:style w:type="paragraph" w:styleId="HTML">
    <w:name w:val="HTML Preformatted"/>
    <w:basedOn w:val="a"/>
    <w:link w:val="HTML0"/>
    <w:uiPriority w:val="99"/>
    <w:semiHidden/>
    <w:unhideWhenUsed/>
    <w:rsid w:val="000A1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18D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0A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5889</Characters>
  <Application>Microsoft Office Word</Application>
  <DocSecurity>0</DocSecurity>
  <Lines>49</Lines>
  <Paragraphs>13</Paragraphs>
  <ScaleCrop>false</ScaleCrop>
  <Company>Kraftway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cp:lastPrinted>2021-06-02T07:23:00Z</cp:lastPrinted>
  <dcterms:created xsi:type="dcterms:W3CDTF">2021-06-02T07:23:00Z</dcterms:created>
  <dcterms:modified xsi:type="dcterms:W3CDTF">2021-06-02T07:24:00Z</dcterms:modified>
</cp:coreProperties>
</file>